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pPr>
      <w:r>
        <w:rPr>
          <w:rFonts w:ascii="Times New Roman" w:hAnsi="Times New Roman"/>
          <w:b w:val="1"/>
          <w:bCs w:val="1"/>
          <w:sz w:val="28"/>
          <w:szCs w:val="28"/>
          <w:rtl w:val="0"/>
          <w:lang w:val="de-DE"/>
        </w:rPr>
        <w:t>VIENNA VILLAGE CEMETERY</w:t>
      </w:r>
    </w:p>
    <w:p>
      <w:pPr>
        <w:pStyle w:val="Body"/>
        <w:bidi w:val="0"/>
      </w:pPr>
      <w:r>
        <w:rPr>
          <w:rFonts w:ascii="Times New Roman" w:hAnsi="Times New Roman"/>
          <w:i w:val="1"/>
          <w:iCs w:val="1"/>
          <w:outline w:val="0"/>
          <w:color w:val="444444"/>
          <w:sz w:val="24"/>
          <w:szCs w:val="24"/>
          <w:u w:color="444444"/>
          <w:rtl w:val="0"/>
          <w:lang w:val="en-US"/>
          <w14:textFill>
            <w14:solidFill>
              <w14:srgbClr w14:val="444444"/>
            </w14:solidFill>
          </w14:textFill>
        </w:rPr>
        <w:t>Vienna, Kennebec County, Maine</w:t>
      </w:r>
    </w:p>
    <w:p>
      <w:pPr>
        <w:pStyle w:val="Body"/>
        <w:bidi w:val="0"/>
        <w:rPr>
          <w:rFonts w:ascii="Times New Roman" w:cs="Times New Roman" w:hAnsi="Times New Roman" w:eastAsia="Times New Roman"/>
          <w:i w:val="1"/>
          <w:iCs w:val="1"/>
          <w:outline w:val="0"/>
          <w:color w:val="444444"/>
          <w:sz w:val="24"/>
          <w:szCs w:val="24"/>
          <w:u w:color="444444"/>
          <w14:textFill>
            <w14:solidFill>
              <w14:srgbClr w14:val="444444"/>
            </w14:solidFill>
          </w14:textFill>
        </w:rPr>
      </w:pPr>
      <w:r>
        <w:rPr>
          <w:rFonts w:ascii="Times New Roman" w:hAnsi="Times New Roman"/>
          <w:i w:val="1"/>
          <w:iCs w:val="1"/>
          <w:outline w:val="0"/>
          <w:color w:val="444444"/>
          <w:sz w:val="24"/>
          <w:szCs w:val="24"/>
          <w:u w:color="444444"/>
          <w:rtl w:val="0"/>
          <w:lang w:val="en-US"/>
          <w14:textFill>
            <w14:solidFill>
              <w14:srgbClr w14:val="444444"/>
            </w14:solidFill>
          </w14:textFill>
        </w:rPr>
        <w:t>Transcription of Historical Deed Records</w:t>
      </w:r>
    </w:p>
    <w:p>
      <w:pPr>
        <w:pStyle w:val="Body"/>
        <w:bidi w:val="0"/>
      </w:pPr>
      <w:r>
        <w:rPr>
          <w:rFonts w:ascii="Times New Roman" w:hAnsi="Times New Roman"/>
          <w:i w:val="1"/>
          <w:iCs w:val="1"/>
          <w:outline w:val="0"/>
          <w:color w:val="444444"/>
          <w:sz w:val="24"/>
          <w:szCs w:val="24"/>
          <w:u w:color="444444"/>
          <w:rtl w:val="0"/>
          <w:lang w:val="en-US"/>
          <w14:textFill>
            <w14:solidFill>
              <w14:srgbClr w14:val="444444"/>
            </w14:solidFill>
          </w14:textFill>
        </w:rPr>
        <w:t>Kennebec County Registry of Deeds, 1863</w:t>
      </w:r>
    </w:p>
    <w:p>
      <w:pPr>
        <w:pStyle w:val="Body"/>
        <w:bidi w:val="0"/>
      </w:pPr>
    </w:p>
    <w:p>
      <w:pPr>
        <w:pStyle w:val="Body"/>
        <w:bidi w:val="0"/>
      </w:pPr>
    </w:p>
    <w:p>
      <w:pPr>
        <w:pStyle w:val="Body"/>
        <w:bidi w:val="0"/>
        <w:rPr>
          <w:rFonts w:ascii="Times New Roman" w:cs="Times New Roman" w:hAnsi="Times New Roman" w:eastAsia="Times New Roman"/>
          <w:i w:val="1"/>
          <w:iCs w:val="1"/>
          <w:outline w:val="0"/>
          <w:color w:val="444444"/>
          <w:sz w:val="24"/>
          <w:szCs w:val="24"/>
          <w:u w:color="444444"/>
          <w14:textFill>
            <w14:solidFill>
              <w14:srgbClr w14:val="444444"/>
            </w14:solidFill>
          </w14:textFill>
        </w:rPr>
      </w:pPr>
      <w:r>
        <w:rPr>
          <w:rFonts w:ascii="Times New Roman" w:hAnsi="Times New Roman"/>
          <w:i w:val="1"/>
          <w:iCs w:val="1"/>
          <w:outline w:val="0"/>
          <w:color w:val="444444"/>
          <w:sz w:val="24"/>
          <w:szCs w:val="24"/>
          <w:u w:color="444444"/>
          <w:rtl w:val="0"/>
          <w:lang w:val="en-US"/>
          <w14:textFill>
            <w14:solidFill>
              <w14:srgbClr w14:val="444444"/>
            </w14:solidFill>
          </w14:textFill>
        </w:rPr>
        <w:t xml:space="preserve">Bradley to Cemetery Trustees </w:t>
      </w:r>
      <w:r>
        <w:rPr>
          <w:rFonts w:ascii="Times New Roman" w:hAnsi="Times New Roman" w:hint="default"/>
          <w:i w:val="1"/>
          <w:iCs w:val="1"/>
          <w:outline w:val="0"/>
          <w:color w:val="444444"/>
          <w:sz w:val="24"/>
          <w:szCs w:val="24"/>
          <w:u w:color="444444"/>
          <w:rtl w:val="0"/>
          <w:lang w:val="en-US"/>
          <w14:textFill>
            <w14:solidFill>
              <w14:srgbClr w14:val="444444"/>
            </w14:solidFill>
          </w14:textFill>
        </w:rPr>
        <w:t xml:space="preserve">— </w:t>
      </w:r>
      <w:r>
        <w:rPr>
          <w:rFonts w:ascii="Times New Roman" w:hAnsi="Times New Roman"/>
          <w:i w:val="1"/>
          <w:iCs w:val="1"/>
          <w:outline w:val="0"/>
          <w:color w:val="444444"/>
          <w:sz w:val="24"/>
          <w:szCs w:val="24"/>
          <w:u w:color="444444"/>
          <w:rtl w:val="0"/>
          <w:lang w:val="en-US"/>
          <w14:textFill>
            <w14:solidFill>
              <w14:srgbClr w14:val="444444"/>
            </w14:solidFill>
          </w14:textFill>
        </w:rPr>
        <w:t>Vienna Village Burying Ground</w:t>
      </w:r>
    </w:p>
    <w:p>
      <w:pPr>
        <w:pStyle w:val="Body"/>
        <w:bidi w:val="0"/>
      </w:pPr>
      <w:r>
        <w:rPr>
          <w:rFonts w:ascii="Times New Roman" w:hAnsi="Times New Roman"/>
          <w:i w:val="1"/>
          <w:iCs w:val="1"/>
          <w:outline w:val="0"/>
          <w:color w:val="444444"/>
          <w:sz w:val="24"/>
          <w:szCs w:val="24"/>
          <w:u w:color="444444"/>
          <w:rtl w:val="0"/>
          <w:lang w:val="en-US"/>
          <w14:textFill>
            <w14:solidFill>
              <w14:srgbClr w14:val="444444"/>
            </w14:solidFill>
          </w14:textFill>
        </w:rPr>
        <w:t>Registry Pages 167</w:t>
      </w:r>
      <w:r>
        <w:rPr>
          <w:rFonts w:ascii="Times New Roman" w:hAnsi="Times New Roman" w:hint="default"/>
          <w:i w:val="1"/>
          <w:iCs w:val="1"/>
          <w:outline w:val="0"/>
          <w:color w:val="444444"/>
          <w:sz w:val="24"/>
          <w:szCs w:val="24"/>
          <w:u w:color="444444"/>
          <w:rtl w:val="0"/>
          <w14:textFill>
            <w14:solidFill>
              <w14:srgbClr w14:val="444444"/>
            </w14:solidFill>
          </w14:textFill>
        </w:rPr>
        <w:t>–</w:t>
      </w:r>
      <w:r>
        <w:rPr>
          <w:rFonts w:ascii="Times New Roman" w:hAnsi="Times New Roman"/>
          <w:i w:val="1"/>
          <w:iCs w:val="1"/>
          <w:outline w:val="0"/>
          <w:color w:val="444444"/>
          <w:sz w:val="24"/>
          <w:szCs w:val="24"/>
          <w:u w:color="444444"/>
          <w:rtl w:val="0"/>
          <w14:textFill>
            <w14:solidFill>
              <w14:srgbClr w14:val="444444"/>
            </w14:solidFill>
          </w14:textFill>
        </w:rPr>
        <w:t xml:space="preserve">168 </w:t>
      </w:r>
      <w:r>
        <w:rPr>
          <w:rFonts w:ascii="Times New Roman" w:hAnsi="Times New Roman" w:hint="default"/>
          <w:i w:val="1"/>
          <w:iCs w:val="1"/>
          <w:outline w:val="0"/>
          <w:color w:val="444444"/>
          <w:sz w:val="24"/>
          <w:szCs w:val="24"/>
          <w:u w:color="444444"/>
          <w:rtl w:val="0"/>
          <w:lang w:val="de-DE"/>
          <w14:textFill>
            <w14:solidFill>
              <w14:srgbClr w14:val="444444"/>
            </w14:solidFill>
          </w14:textFill>
        </w:rPr>
        <w:t xml:space="preserve">· </w:t>
      </w:r>
      <w:r>
        <w:rPr>
          <w:rFonts w:ascii="Times New Roman" w:hAnsi="Times New Roman"/>
          <w:i w:val="1"/>
          <w:iCs w:val="1"/>
          <w:outline w:val="0"/>
          <w:color w:val="444444"/>
          <w:sz w:val="24"/>
          <w:szCs w:val="24"/>
          <w:u w:color="444444"/>
          <w:rtl w:val="0"/>
          <w:lang w:val="en-US"/>
          <w14:textFill>
            <w14:solidFill>
              <w14:srgbClr w14:val="444444"/>
            </w14:solidFill>
          </w14:textFill>
        </w:rPr>
        <w:t>Recorded June 9, 1863</w:t>
      </w:r>
    </w:p>
    <w:p>
      <w:pPr>
        <w:pStyle w:val="Body"/>
        <w:bidi w:val="0"/>
      </w:pPr>
      <w:r>
        <w:rPr>
          <w:rFonts w:ascii="Times New Roman" w:hAnsi="Times New Roman"/>
          <w:i w:val="1"/>
          <w:iCs w:val="1"/>
          <w:outline w:val="0"/>
          <w:color w:val="555555"/>
          <w:u w:color="555555"/>
          <w:rtl w:val="0"/>
          <w:lang w:val="en-US"/>
          <w14:textFill>
            <w14:solidFill>
              <w14:srgbClr w14:val="555555"/>
            </w14:solidFill>
          </w14:textFill>
        </w:rPr>
        <w:t>Note: This is the primary cemetery deed conveying the addition to the burying ground at Vienna Village to eight named trustees. This deed establishes the land's perpetual use as a burying ground and assigns individual lot numbers to each trustee.</w:t>
      </w:r>
    </w:p>
    <w:p>
      <w:pPr>
        <w:pStyle w:val="Body"/>
        <w:bidi w:val="0"/>
      </w:pPr>
    </w:p>
    <w:p>
      <w:pPr>
        <w:pStyle w:val="Body"/>
        <w:bidi w:val="0"/>
      </w:pPr>
      <w:r>
        <w:rPr>
          <w:rFonts w:ascii="Times New Roman" w:hAnsi="Times New Roman"/>
          <w:b w:val="1"/>
          <w:bCs w:val="1"/>
          <w:sz w:val="24"/>
          <w:szCs w:val="24"/>
          <w:u w:val="single"/>
          <w:rtl w:val="0"/>
          <w:lang w:val="da-DK"/>
        </w:rPr>
        <w:t>Granting Clause</w:t>
      </w:r>
    </w:p>
    <w:p>
      <w:pPr>
        <w:pStyle w:val="Body"/>
        <w:bidi w:val="0"/>
      </w:pPr>
      <w:r>
        <w:rPr>
          <w:rFonts w:ascii="Times New Roman" w:hAnsi="Times New Roman"/>
          <w:sz w:val="24"/>
          <w:szCs w:val="24"/>
          <w:rtl w:val="0"/>
          <w:lang w:val="en-US"/>
        </w:rPr>
        <w:t>Know All Men by these Presents that I Alvan Bradley and Wesley Bradley both of Vienna in the County of Kennebec and State of Maine, in consideration of Forty five dollars paid by Dennis Gordon, Henry King, Sanders Morrill, Hiram S. Abbott, Jacob A. Gordon, Samuel Mooers, Nathaniel Mooers and James H. Page all of Vienna State and County aforesaid the receipt whereof is hereby acknowledged, do hereby give, grant, bargain, sell and convey unto the said Dennis Gordon, Henry King, Sanders Morrill, Hiram S. Abbott, Jacob A. Gordon, Samuel Mooers, Nathaniel Mooers and James H. Page their heirs and assigns forever, a certain piece or parcel of land situated in Vienna, being an addition to the burying ground at the Village in said Town and bounded as follows.</w:t>
      </w:r>
    </w:p>
    <w:p>
      <w:pPr>
        <w:pStyle w:val="Body"/>
        <w:bidi w:val="0"/>
      </w:pPr>
    </w:p>
    <w:p>
      <w:pPr>
        <w:pStyle w:val="Body"/>
        <w:bidi w:val="0"/>
      </w:pPr>
      <w:r>
        <w:rPr>
          <w:rFonts w:ascii="Times New Roman" w:hAnsi="Times New Roman"/>
          <w:b w:val="1"/>
          <w:bCs w:val="1"/>
          <w:sz w:val="24"/>
          <w:szCs w:val="24"/>
          <w:u w:val="single"/>
          <w:rtl w:val="0"/>
          <w:lang w:val="en-US"/>
        </w:rPr>
        <w:t>Property Description</w:t>
      </w:r>
    </w:p>
    <w:p>
      <w:pPr>
        <w:pStyle w:val="Body"/>
        <w:bidi w:val="0"/>
      </w:pPr>
      <w:r>
        <w:rPr>
          <w:rFonts w:ascii="Times New Roman" w:hAnsi="Times New Roman"/>
          <w:sz w:val="24"/>
          <w:szCs w:val="24"/>
          <w:rtl w:val="0"/>
          <w:lang w:val="en-US"/>
        </w:rPr>
        <w:t>Beginning at the North West corner of said burying ground as laid out previous to the present herein described; thence Westerly twelve feet binding on said Bradley's land; thence Southerly binding on said Bradley's land Three hundred two feet; thence Easterly binding on said Bradley's land twelve feet; thence Northerly binding on said burying ground as laid out previous to the sale of the piece herein described to the first mentioned bounds.</w:t>
      </w:r>
    </w:p>
    <w:p>
      <w:pPr>
        <w:pStyle w:val="Body"/>
        <w:bidi w:val="0"/>
      </w:pPr>
    </w:p>
    <w:p>
      <w:pPr>
        <w:pStyle w:val="Body"/>
        <w:bidi w:val="0"/>
      </w:pPr>
      <w:r>
        <w:rPr>
          <w:rFonts w:ascii="Times New Roman" w:hAnsi="Times New Roman"/>
          <w:sz w:val="24"/>
          <w:szCs w:val="24"/>
          <w:rtl w:val="0"/>
          <w:lang w:val="en-US"/>
        </w:rPr>
        <w:t>The above described piece or parcel of land to be used as a burying ground and for no other purpose or use forever, the same being divided into Nine lots, the walks between and around the West end of said lots included, said walks or avenues to be forever free for all who may have occasion to use the same as a passway in and around said ground.</w:t>
      </w:r>
    </w:p>
    <w:p>
      <w:pPr>
        <w:pStyle w:val="Body"/>
        <w:bidi w:val="0"/>
      </w:pPr>
    </w:p>
    <w:p>
      <w:pPr>
        <w:pStyle w:val="Body"/>
        <w:bidi w:val="0"/>
      </w:pPr>
      <w:r>
        <w:rPr>
          <w:rFonts w:ascii="Times New Roman" w:hAnsi="Times New Roman"/>
          <w:b w:val="1"/>
          <w:bCs w:val="1"/>
          <w:sz w:val="24"/>
          <w:szCs w:val="24"/>
          <w:u w:val="single"/>
          <w:rtl w:val="0"/>
          <w:lang w:val="en-US"/>
        </w:rPr>
        <w:t>Lot Assignments</w:t>
      </w:r>
    </w:p>
    <w:p>
      <w:pPr>
        <w:pStyle w:val="Body"/>
        <w:bidi w:val="0"/>
      </w:pPr>
      <w:r>
        <w:rPr>
          <w:rFonts w:ascii="Times New Roman" w:hAnsi="Times New Roman"/>
          <w:sz w:val="24"/>
          <w:szCs w:val="24"/>
          <w:rtl w:val="0"/>
          <w:lang w:val="en-US"/>
        </w:rPr>
        <w:t>A plan of said lots having been made numbered and attached to the original plan as follows, beginning at the Northerly end of said Lots:</w:t>
      </w:r>
    </w:p>
    <w:p>
      <w:pPr>
        <w:pStyle w:val="Body"/>
        <w:bidi w:val="0"/>
      </w:pPr>
    </w:p>
    <w:p>
      <w:pPr>
        <w:pStyle w:val="Body"/>
        <w:bidi w:val="0"/>
      </w:pPr>
      <w:r>
        <w:rPr>
          <w:rFonts w:ascii="Times New Roman" w:hAnsi="Times New Roman"/>
          <w:sz w:val="24"/>
          <w:szCs w:val="24"/>
          <w:rtl w:val="0"/>
          <w:lang w:val="en-US"/>
        </w:rPr>
        <w:t xml:space="preserve">Gordon &amp; King </w:t>
      </w:r>
      <w:r>
        <w:rPr>
          <w:rFonts w:ascii="Times New Roman" w:hAnsi="Times New Roman" w:hint="default"/>
          <w:sz w:val="24"/>
          <w:szCs w:val="24"/>
          <w:rtl w:val="0"/>
          <w:lang w:val="en-US"/>
        </w:rPr>
        <w:t xml:space="preserve">— </w:t>
      </w:r>
      <w:r>
        <w:rPr>
          <w:rFonts w:ascii="Times New Roman" w:hAnsi="Times New Roman"/>
          <w:sz w:val="24"/>
          <w:szCs w:val="24"/>
          <w:rtl w:val="0"/>
          <w:lang w:val="pt-PT"/>
        </w:rPr>
        <w:t>No. 63</w:t>
      </w:r>
    </w:p>
    <w:p>
      <w:pPr>
        <w:pStyle w:val="Body"/>
        <w:bidi w:val="0"/>
      </w:pPr>
      <w:r>
        <w:rPr>
          <w:rFonts w:ascii="Times New Roman" w:hAnsi="Times New Roman"/>
          <w:sz w:val="24"/>
          <w:szCs w:val="24"/>
          <w:rtl w:val="0"/>
          <w:lang w:val="en-US"/>
        </w:rPr>
        <w:t xml:space="preserve">Sanders Morrill </w:t>
      </w:r>
      <w:r>
        <w:rPr>
          <w:rFonts w:ascii="Times New Roman" w:hAnsi="Times New Roman" w:hint="default"/>
          <w:sz w:val="24"/>
          <w:szCs w:val="24"/>
          <w:rtl w:val="0"/>
          <w:lang w:val="en-US"/>
        </w:rPr>
        <w:t xml:space="preserve">— </w:t>
      </w:r>
      <w:r>
        <w:rPr>
          <w:rFonts w:ascii="Times New Roman" w:hAnsi="Times New Roman"/>
          <w:sz w:val="24"/>
          <w:szCs w:val="24"/>
          <w:rtl w:val="0"/>
          <w:lang w:val="it-IT"/>
        </w:rPr>
        <w:t>No. 84</w:t>
      </w:r>
    </w:p>
    <w:p>
      <w:pPr>
        <w:pStyle w:val="Body"/>
        <w:bidi w:val="0"/>
      </w:pPr>
      <w:r>
        <w:rPr>
          <w:rFonts w:ascii="Times New Roman" w:hAnsi="Times New Roman"/>
          <w:sz w:val="24"/>
          <w:szCs w:val="24"/>
          <w:rtl w:val="0"/>
          <w:lang w:val="pt-PT"/>
        </w:rPr>
        <w:t xml:space="preserve">Hiram S. Abbott </w:t>
      </w:r>
      <w:r>
        <w:rPr>
          <w:rFonts w:ascii="Times New Roman" w:hAnsi="Times New Roman" w:hint="default"/>
          <w:sz w:val="24"/>
          <w:szCs w:val="24"/>
          <w:rtl w:val="0"/>
          <w:lang w:val="en-US"/>
        </w:rPr>
        <w:t xml:space="preserve">— </w:t>
      </w:r>
      <w:r>
        <w:rPr>
          <w:rFonts w:ascii="Times New Roman" w:hAnsi="Times New Roman"/>
          <w:sz w:val="24"/>
          <w:szCs w:val="24"/>
          <w:rtl w:val="0"/>
          <w:lang w:val="it-IT"/>
        </w:rPr>
        <w:t>No. 53</w:t>
      </w:r>
    </w:p>
    <w:p>
      <w:pPr>
        <w:pStyle w:val="Body"/>
        <w:bidi w:val="0"/>
      </w:pPr>
      <w:r>
        <w:rPr>
          <w:rFonts w:ascii="Times New Roman" w:hAnsi="Times New Roman"/>
          <w:sz w:val="24"/>
          <w:szCs w:val="24"/>
          <w:rtl w:val="0"/>
          <w:lang w:val="da-DK"/>
        </w:rPr>
        <w:t xml:space="preserve">Jacob G. Gordon </w:t>
      </w:r>
      <w:r>
        <w:rPr>
          <w:rFonts w:ascii="Times New Roman" w:hAnsi="Times New Roman" w:hint="default"/>
          <w:sz w:val="24"/>
          <w:szCs w:val="24"/>
          <w:rtl w:val="0"/>
          <w:lang w:val="en-US"/>
        </w:rPr>
        <w:t xml:space="preserve">— </w:t>
      </w:r>
      <w:r>
        <w:rPr>
          <w:rFonts w:ascii="Times New Roman" w:hAnsi="Times New Roman"/>
          <w:sz w:val="24"/>
          <w:szCs w:val="24"/>
          <w:rtl w:val="0"/>
          <w:lang w:val="pt-PT"/>
        </w:rPr>
        <w:t>No. 62</w:t>
      </w:r>
    </w:p>
    <w:p>
      <w:pPr>
        <w:pStyle w:val="Body"/>
        <w:bidi w:val="0"/>
      </w:pPr>
      <w:r>
        <w:rPr>
          <w:rFonts w:ascii="Times New Roman" w:hAnsi="Times New Roman"/>
          <w:sz w:val="24"/>
          <w:szCs w:val="24"/>
          <w:rtl w:val="0"/>
          <w:lang w:val="en-US"/>
        </w:rPr>
        <w:t xml:space="preserve">Samuel Mooers and Nathaniel Mooers </w:t>
      </w:r>
      <w:r>
        <w:rPr>
          <w:rFonts w:ascii="Times New Roman" w:hAnsi="Times New Roman" w:hint="default"/>
          <w:sz w:val="24"/>
          <w:szCs w:val="24"/>
          <w:rtl w:val="0"/>
          <w:lang w:val="en-US"/>
        </w:rPr>
        <w:t xml:space="preserve">— </w:t>
      </w:r>
      <w:r>
        <w:rPr>
          <w:rFonts w:ascii="Times New Roman" w:hAnsi="Times New Roman"/>
          <w:sz w:val="24"/>
          <w:szCs w:val="24"/>
          <w:rtl w:val="0"/>
          <w:lang w:val="it-IT"/>
        </w:rPr>
        <w:t>No. 37</w:t>
      </w:r>
    </w:p>
    <w:p>
      <w:pPr>
        <w:pStyle w:val="Body"/>
        <w:bidi w:val="0"/>
      </w:pPr>
      <w:r>
        <w:rPr>
          <w:rFonts w:ascii="Times New Roman" w:hAnsi="Times New Roman"/>
          <w:sz w:val="24"/>
          <w:szCs w:val="24"/>
          <w:rtl w:val="0"/>
          <w:lang w:val="pt-PT"/>
        </w:rPr>
        <w:t xml:space="preserve">James H. Page </w:t>
      </w:r>
      <w:r>
        <w:rPr>
          <w:rFonts w:ascii="Times New Roman" w:hAnsi="Times New Roman" w:hint="default"/>
          <w:sz w:val="24"/>
          <w:szCs w:val="24"/>
          <w:rtl w:val="0"/>
          <w:lang w:val="en-US"/>
        </w:rPr>
        <w:t xml:space="preserve">— </w:t>
      </w:r>
      <w:r>
        <w:rPr>
          <w:rFonts w:ascii="Times New Roman" w:hAnsi="Times New Roman"/>
          <w:sz w:val="24"/>
          <w:szCs w:val="24"/>
          <w:rtl w:val="0"/>
          <w:lang w:val="en-US"/>
        </w:rPr>
        <w:t>No. 48, and No. 47</w:t>
      </w:r>
    </w:p>
    <w:p>
      <w:pPr>
        <w:pStyle w:val="Body"/>
        <w:bidi w:val="0"/>
      </w:pPr>
    </w:p>
    <w:p>
      <w:pPr>
        <w:pStyle w:val="Body"/>
        <w:bidi w:val="0"/>
      </w:pPr>
      <w:r>
        <w:rPr>
          <w:rFonts w:ascii="Times New Roman" w:hAnsi="Times New Roman"/>
          <w:sz w:val="24"/>
          <w:szCs w:val="24"/>
          <w:rtl w:val="0"/>
          <w:lang w:val="en-US"/>
        </w:rPr>
        <w:t>No. 63 sold, being owned by the above named proprietors in common to John Williams of Mount Vernon. Also No. 44, sold by James H. Page to William H. Morrill to hold as aforesaid.</w:t>
      </w:r>
    </w:p>
    <w:p>
      <w:pPr>
        <w:pStyle w:val="Body"/>
        <w:bidi w:val="0"/>
      </w:pPr>
    </w:p>
    <w:p>
      <w:pPr>
        <w:pStyle w:val="Body"/>
        <w:bidi w:val="0"/>
      </w:pPr>
      <w:r>
        <w:rPr>
          <w:rFonts w:ascii="Times New Roman" w:hAnsi="Times New Roman"/>
          <w:b w:val="1"/>
          <w:bCs w:val="1"/>
          <w:sz w:val="24"/>
          <w:szCs w:val="24"/>
          <w:u w:val="single"/>
          <w:rtl w:val="0"/>
        </w:rPr>
        <w:t>Habendum &amp; Warranty</w:t>
      </w:r>
    </w:p>
    <w:p>
      <w:pPr>
        <w:pStyle w:val="Body"/>
        <w:bidi w:val="0"/>
      </w:pPr>
      <w:r>
        <w:rPr>
          <w:rFonts w:ascii="Times New Roman" w:hAnsi="Times New Roman"/>
          <w:sz w:val="24"/>
          <w:szCs w:val="24"/>
          <w:rtl w:val="0"/>
          <w:lang w:val="en-US"/>
        </w:rPr>
        <w:t>To Have and to Hold the above granted premises with all the privileges and appurtenances thereunto belonging to the said persons above named their heirs and assigns to their use and behoof forever. And I the said Alvan Bradley &amp; Wesley Bradley for ourselves and our heirs, Executors and Administrators, do covenant with the said Gordon, King, Morrill, Abbott, Gordon, Mooers &amp; Page their heirs and assigns, that we are lawfully seized in fee simple of the aforegranted premises; that they are free from all incumbrances; that we have good right to sell and convey the same to the said persons above named their heirs and assigns forever to hold as aforesaid and that we will and our heirs, Executors and Administrators shall warrant and defend the same to the said persons above named their heirs and assigns forever, against the lawful claims and demands of all persons.</w:t>
      </w:r>
    </w:p>
    <w:p>
      <w:pPr>
        <w:pStyle w:val="Body"/>
        <w:bidi w:val="0"/>
      </w:pPr>
    </w:p>
    <w:p>
      <w:pPr>
        <w:pStyle w:val="Body"/>
        <w:bidi w:val="0"/>
      </w:pPr>
      <w:r>
        <w:rPr>
          <w:rFonts w:ascii="Times New Roman" w:hAnsi="Times New Roman"/>
          <w:b w:val="1"/>
          <w:bCs w:val="1"/>
          <w:sz w:val="24"/>
          <w:szCs w:val="24"/>
          <w:u w:val="single"/>
          <w:rtl w:val="0"/>
          <w:lang w:val="en-US"/>
        </w:rPr>
        <w:t>Execution</w:t>
      </w:r>
    </w:p>
    <w:p>
      <w:pPr>
        <w:pStyle w:val="Body"/>
        <w:bidi w:val="0"/>
      </w:pPr>
      <w:r>
        <w:rPr>
          <w:rFonts w:ascii="Times New Roman" w:hAnsi="Times New Roman"/>
          <w:sz w:val="24"/>
          <w:szCs w:val="24"/>
          <w:rtl w:val="0"/>
          <w:lang w:val="en-US"/>
        </w:rPr>
        <w:t>In Witness Whereof I the said Alvan Bradley and Hannah wife of the said Alvan, and Wesley Bradley and Cynthia G. wife of the said Wesley in token of our release of all right and title of or to both dower and homestead in the granted premises, have hereunto set our hands and seals this fifth day of June in the year of our Lord eighteen hundred and sixty three.</w:t>
      </w:r>
    </w:p>
    <w:p>
      <w:pPr>
        <w:pStyle w:val="Body"/>
        <w:bidi w:val="0"/>
      </w:pPr>
    </w:p>
    <w:p>
      <w:pPr>
        <w:pStyle w:val="Body"/>
        <w:bidi w:val="0"/>
      </w:pPr>
      <w:r>
        <w:rPr>
          <w:rFonts w:ascii="Times New Roman" w:hAnsi="Times New Roman"/>
          <w:sz w:val="24"/>
          <w:szCs w:val="24"/>
          <w:rtl w:val="0"/>
          <w:lang w:val="en-US"/>
        </w:rPr>
        <w:t>Signed, Sealed and delivered in presence of:</w:t>
      </w:r>
    </w:p>
    <w:p>
      <w:pPr>
        <w:pStyle w:val="Body"/>
        <w:bidi w:val="0"/>
      </w:pPr>
      <w:r>
        <w:rPr>
          <w:rFonts w:ascii="Times New Roman" w:hAnsi="Times New Roman"/>
          <w:sz w:val="24"/>
          <w:szCs w:val="24"/>
          <w:rtl w:val="0"/>
        </w:rPr>
        <w:t xml:space="preserve">Thomas C. Norris                             </w:t>
      </w:r>
      <w:r>
        <w:rPr>
          <w:rFonts w:ascii="Times New Roman" w:hAnsi="Times New Roman"/>
          <w:b w:val="1"/>
          <w:bCs w:val="1"/>
          <w:sz w:val="24"/>
          <w:szCs w:val="24"/>
          <w:rtl w:val="0"/>
          <w:lang w:val="nl-NL"/>
        </w:rPr>
        <w:t>Alvan Bradley  (Seal)</w:t>
      </w:r>
    </w:p>
    <w:p>
      <w:pPr>
        <w:pStyle w:val="Body"/>
        <w:bidi w:val="0"/>
      </w:pPr>
      <w:r>
        <w:rPr>
          <w:rFonts w:ascii="Times New Roman" w:hAnsi="Times New Roman"/>
          <w:sz w:val="24"/>
          <w:szCs w:val="24"/>
          <w:rtl w:val="0"/>
        </w:rPr>
        <w:t xml:space="preserve">                                             </w:t>
      </w:r>
      <w:r>
        <w:rPr>
          <w:rFonts w:ascii="Times New Roman" w:hAnsi="Times New Roman"/>
          <w:b w:val="1"/>
          <w:bCs w:val="1"/>
          <w:sz w:val="24"/>
          <w:szCs w:val="24"/>
          <w:rtl w:val="0"/>
          <w:lang w:val="en-US"/>
        </w:rPr>
        <w:t>Wesley Bradley  (Seal)</w:t>
      </w:r>
    </w:p>
    <w:p>
      <w:pPr>
        <w:pStyle w:val="Body"/>
        <w:bidi w:val="0"/>
      </w:pPr>
      <w:r>
        <w:rPr>
          <w:rFonts w:ascii="Times New Roman" w:hAnsi="Times New Roman"/>
          <w:sz w:val="24"/>
          <w:szCs w:val="24"/>
          <w:rtl w:val="0"/>
        </w:rPr>
        <w:t xml:space="preserve">                                             </w:t>
      </w:r>
      <w:r>
        <w:rPr>
          <w:rFonts w:ascii="Times New Roman" w:hAnsi="Times New Roman"/>
          <w:b w:val="1"/>
          <w:bCs w:val="1"/>
          <w:sz w:val="24"/>
          <w:szCs w:val="24"/>
          <w:rtl w:val="0"/>
          <w:lang w:val="en-US"/>
        </w:rPr>
        <w:t>Hannah Bradley  (Seal)</w:t>
      </w:r>
    </w:p>
    <w:p>
      <w:pPr>
        <w:pStyle w:val="Body"/>
        <w:bidi w:val="0"/>
      </w:pPr>
      <w:r>
        <w:rPr>
          <w:rFonts w:ascii="Times New Roman" w:hAnsi="Times New Roman"/>
          <w:sz w:val="24"/>
          <w:szCs w:val="24"/>
          <w:rtl w:val="0"/>
        </w:rPr>
        <w:t xml:space="preserve">                                             </w:t>
      </w:r>
      <w:r>
        <w:rPr>
          <w:rFonts w:ascii="Times New Roman" w:hAnsi="Times New Roman"/>
          <w:b w:val="1"/>
          <w:bCs w:val="1"/>
          <w:sz w:val="24"/>
          <w:szCs w:val="24"/>
          <w:rtl w:val="0"/>
          <w:lang w:val="en-US"/>
        </w:rPr>
        <w:t>Cynthia G. Bradley  (Seal)</w:t>
      </w:r>
    </w:p>
    <w:p>
      <w:pPr>
        <w:pStyle w:val="Body"/>
        <w:bidi w:val="0"/>
      </w:pPr>
    </w:p>
    <w:p>
      <w:pPr>
        <w:pStyle w:val="Body"/>
        <w:bidi w:val="0"/>
      </w:pPr>
      <w:r>
        <w:rPr>
          <w:rFonts w:ascii="Times New Roman" w:hAnsi="Times New Roman"/>
          <w:b w:val="1"/>
          <w:bCs w:val="1"/>
          <w:sz w:val="24"/>
          <w:szCs w:val="24"/>
          <w:u w:val="single"/>
          <w:rtl w:val="0"/>
          <w:lang w:val="en-US"/>
        </w:rPr>
        <w:t>Acknowledgment</w:t>
      </w:r>
    </w:p>
    <w:p>
      <w:pPr>
        <w:pStyle w:val="Body"/>
        <w:bidi w:val="0"/>
      </w:pPr>
      <w:r>
        <w:rPr>
          <w:rFonts w:ascii="Times New Roman" w:hAnsi="Times New Roman"/>
          <w:sz w:val="24"/>
          <w:szCs w:val="24"/>
          <w:rtl w:val="0"/>
          <w:lang w:val="en-US"/>
        </w:rPr>
        <w:t>Kennebec SS. June 5th 1863. Then personally appeared the above named Alvan Bradley &amp; Wesley Bradley and acknowledged the above instrument to be their free act and deed.</w:t>
      </w:r>
    </w:p>
    <w:p>
      <w:pPr>
        <w:pStyle w:val="Body"/>
        <w:bidi w:val="0"/>
      </w:pPr>
      <w:r>
        <w:rPr>
          <w:rFonts w:ascii="Times New Roman" w:hAnsi="Times New Roman"/>
          <w:sz w:val="24"/>
          <w:szCs w:val="24"/>
          <w:rtl w:val="0"/>
          <w:lang w:val="en-US"/>
        </w:rPr>
        <w:t>Before Me Thomas C. Norris, Justice of the Peace.</w:t>
      </w:r>
    </w:p>
    <w:p>
      <w:pPr>
        <w:pStyle w:val="Body"/>
        <w:bidi w:val="0"/>
      </w:pPr>
    </w:p>
    <w:p>
      <w:pPr>
        <w:pStyle w:val="Body"/>
        <w:bidi w:val="0"/>
      </w:pPr>
      <w:r>
        <w:rPr>
          <w:rFonts w:ascii="Times New Roman" w:hAnsi="Times New Roman"/>
          <w:b w:val="1"/>
          <w:bCs w:val="1"/>
          <w:sz w:val="24"/>
          <w:szCs w:val="24"/>
          <w:u w:val="single"/>
          <w:rtl w:val="0"/>
          <w:lang w:val="en-US"/>
        </w:rPr>
        <w:t>Registry Notation</w:t>
      </w:r>
    </w:p>
    <w:p>
      <w:pPr>
        <w:pStyle w:val="Body"/>
        <w:bidi w:val="0"/>
      </w:pPr>
      <w:r>
        <w:rPr>
          <w:rFonts w:ascii="Times New Roman" w:hAnsi="Times New Roman"/>
          <w:sz w:val="24"/>
          <w:szCs w:val="24"/>
          <w:rtl w:val="0"/>
          <w:lang w:val="en-US"/>
        </w:rPr>
        <w:t>Kennebec SS. Reed. June 9th at 2h P.M. 1863. Entered and compared with the original by J. A. Richards, Register.</w:t>
      </w:r>
    </w:p>
    <w:p>
      <w:pPr>
        <w:pStyle w:val="Body"/>
        <w:bidi w:val="0"/>
      </w:pPr>
    </w:p>
    <w:p>
      <w:pPr>
        <w:pStyle w:val="Body"/>
        <w:bidi w:val="0"/>
      </w:pPr>
    </w:p>
    <w:p>
      <w:pPr>
        <w:pStyle w:val="Body"/>
        <w:bidi w:val="0"/>
      </w:pPr>
      <w:r/>
    </w:p>
    <w:sectPr>
      <w:headerReference w:type="default" r:id="rId4"/>
      <w:footerReference w:type="default" r:id="rId5"/>
      <w:pgSz w:w="12240" w:h="15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de-D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